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37" w:rsidRDefault="007A073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A0737" w:rsidRDefault="007A0737">
      <w:pPr>
        <w:pStyle w:val="ConsPlusNormal"/>
        <w:jc w:val="both"/>
        <w:outlineLvl w:val="0"/>
      </w:pPr>
    </w:p>
    <w:p w:rsidR="007A0737" w:rsidRDefault="007A0737">
      <w:pPr>
        <w:pStyle w:val="ConsPlusNormal"/>
        <w:ind w:firstLine="540"/>
        <w:jc w:val="both"/>
      </w:pPr>
      <w:r>
        <w:rPr>
          <w:b/>
        </w:rPr>
        <w:t>Вопрос:</w:t>
      </w:r>
      <w:r>
        <w:t xml:space="preserve"> Об исполнении обязанностей налогового агента по НДФЛ при выкупе АО собственных акций у акционеров, если средства перечислены через номинального держателя.</w:t>
      </w:r>
    </w:p>
    <w:p w:rsidR="007A0737" w:rsidRDefault="007A0737">
      <w:pPr>
        <w:pStyle w:val="ConsPlusNormal"/>
        <w:jc w:val="both"/>
      </w:pPr>
    </w:p>
    <w:p w:rsidR="007A0737" w:rsidRDefault="007A0737">
      <w:pPr>
        <w:pStyle w:val="ConsPlusNormal"/>
        <w:ind w:firstLine="540"/>
        <w:jc w:val="both"/>
      </w:pPr>
      <w:r>
        <w:rPr>
          <w:b/>
        </w:rPr>
        <w:t>Ответ:</w:t>
      </w:r>
    </w:p>
    <w:p w:rsidR="007A0737" w:rsidRDefault="007A0737">
      <w:pPr>
        <w:pStyle w:val="ConsPlusTitle"/>
        <w:spacing w:before="220"/>
        <w:jc w:val="center"/>
      </w:pPr>
      <w:r>
        <w:t>МИНИСТЕРСТВО ФИНАНСОВ РОССИЙСКОЙ ФЕДЕРАЦИИ</w:t>
      </w:r>
    </w:p>
    <w:p w:rsidR="007A0737" w:rsidRDefault="007A0737">
      <w:pPr>
        <w:pStyle w:val="ConsPlusTitle"/>
        <w:jc w:val="center"/>
      </w:pPr>
    </w:p>
    <w:p w:rsidR="007A0737" w:rsidRDefault="007A0737">
      <w:pPr>
        <w:pStyle w:val="ConsPlusTitle"/>
        <w:jc w:val="center"/>
      </w:pPr>
      <w:r>
        <w:t>ФЕДЕРАЛЬНАЯ НАЛОГОВАЯ СЛУЖБА</w:t>
      </w:r>
    </w:p>
    <w:p w:rsidR="007A0737" w:rsidRDefault="007A0737">
      <w:pPr>
        <w:pStyle w:val="ConsPlusTitle"/>
        <w:jc w:val="center"/>
      </w:pPr>
    </w:p>
    <w:p w:rsidR="007A0737" w:rsidRDefault="007A0737">
      <w:pPr>
        <w:pStyle w:val="ConsPlusTitle"/>
        <w:jc w:val="center"/>
      </w:pPr>
      <w:r>
        <w:t>ПИСЬМО</w:t>
      </w:r>
    </w:p>
    <w:p w:rsidR="007A0737" w:rsidRDefault="007A0737">
      <w:pPr>
        <w:pStyle w:val="ConsPlusTitle"/>
        <w:jc w:val="center"/>
      </w:pPr>
      <w:r>
        <w:t>от 17 января 2020 г. N БС-4-11/561@</w:t>
      </w:r>
    </w:p>
    <w:p w:rsidR="007A0737" w:rsidRDefault="007A0737">
      <w:pPr>
        <w:pStyle w:val="ConsPlusNormal"/>
        <w:jc w:val="both"/>
      </w:pPr>
    </w:p>
    <w:p w:rsidR="007A0737" w:rsidRDefault="007A0737">
      <w:pPr>
        <w:pStyle w:val="ConsPlusNormal"/>
        <w:ind w:firstLine="540"/>
        <w:jc w:val="both"/>
      </w:pPr>
      <w:r>
        <w:t xml:space="preserve">Федеральная налоговая служба в соответствии с письмом от 20.12.2019 </w:t>
      </w:r>
      <w:proofErr w:type="gramStart"/>
      <w:r>
        <w:t>рассмотрела обращение ПАО и по вопросу исполнения организацией обязанностей налогового агента по налогу на доходы физических лиц сообщает</w:t>
      </w:r>
      <w:proofErr w:type="gramEnd"/>
      <w:r>
        <w:t xml:space="preserve"> следующее.</w:t>
      </w:r>
    </w:p>
    <w:p w:rsidR="007A0737" w:rsidRDefault="007A0737">
      <w:pPr>
        <w:pStyle w:val="ConsPlusNormal"/>
        <w:spacing w:before="220"/>
        <w:ind w:firstLine="540"/>
        <w:jc w:val="both"/>
      </w:pPr>
      <w:r>
        <w:t xml:space="preserve">Согласно </w:t>
      </w:r>
      <w:hyperlink r:id="rId6" w:history="1">
        <w:r>
          <w:rPr>
            <w:color w:val="0000FF"/>
          </w:rPr>
          <w:t>пункту 1 статьи 226</w:t>
        </w:r>
      </w:hyperlink>
      <w:r>
        <w:t xml:space="preserve"> Налогового кодекса Российской Федерации (далее - Кодекс) российские организации (налоговые агенты), от которых или в результате отношений с которыми налогоплательщик получил доходы, обязаны исчислить, удержать у налогоплательщика и уплатить сумму налога, исчисленную в соответствии со </w:t>
      </w:r>
      <w:hyperlink r:id="rId7" w:history="1">
        <w:r>
          <w:rPr>
            <w:color w:val="0000FF"/>
          </w:rPr>
          <w:t>статьей 224</w:t>
        </w:r>
      </w:hyperlink>
      <w:r>
        <w:t xml:space="preserve"> Кодекса, с учетом особенностей, предусмотренных </w:t>
      </w:r>
      <w:hyperlink r:id="rId8" w:history="1">
        <w:r>
          <w:rPr>
            <w:color w:val="0000FF"/>
          </w:rPr>
          <w:t>статьей 226</w:t>
        </w:r>
      </w:hyperlink>
      <w:r>
        <w:t xml:space="preserve"> Кодекса.</w:t>
      </w:r>
    </w:p>
    <w:p w:rsidR="007A0737" w:rsidRDefault="007A0737">
      <w:pPr>
        <w:pStyle w:val="ConsPlusNormal"/>
        <w:spacing w:before="220"/>
        <w:ind w:firstLine="540"/>
        <w:jc w:val="both"/>
      </w:pPr>
      <w:r>
        <w:t xml:space="preserve">При этом </w:t>
      </w:r>
      <w:hyperlink r:id="rId9" w:history="1">
        <w:r>
          <w:rPr>
            <w:color w:val="0000FF"/>
          </w:rPr>
          <w:t>абзацем вторым пункта 2 статьи 226</w:t>
        </w:r>
      </w:hyperlink>
      <w:r>
        <w:t xml:space="preserve"> Кодекса определено, что особенности исчисления и (или) уплаты налога по отдельным видам доходов установлены </w:t>
      </w:r>
      <w:hyperlink r:id="rId10" w:history="1">
        <w:r>
          <w:rPr>
            <w:color w:val="0000FF"/>
          </w:rPr>
          <w:t>статьями 214.3</w:t>
        </w:r>
      </w:hyperlink>
      <w:r>
        <w:t xml:space="preserve">, </w:t>
      </w:r>
      <w:hyperlink r:id="rId11" w:history="1">
        <w:r>
          <w:rPr>
            <w:color w:val="0000FF"/>
          </w:rPr>
          <w:t>214.4</w:t>
        </w:r>
      </w:hyperlink>
      <w:r>
        <w:t xml:space="preserve">, </w:t>
      </w:r>
      <w:hyperlink r:id="rId12" w:history="1">
        <w:r>
          <w:rPr>
            <w:color w:val="0000FF"/>
          </w:rPr>
          <w:t>214.5</w:t>
        </w:r>
      </w:hyperlink>
      <w:r>
        <w:t xml:space="preserve">, </w:t>
      </w:r>
      <w:hyperlink r:id="rId13" w:history="1">
        <w:r>
          <w:rPr>
            <w:color w:val="0000FF"/>
          </w:rPr>
          <w:t>214.6</w:t>
        </w:r>
      </w:hyperlink>
      <w:r>
        <w:t xml:space="preserve">, </w:t>
      </w:r>
      <w:hyperlink r:id="rId14" w:history="1">
        <w:r>
          <w:rPr>
            <w:color w:val="0000FF"/>
          </w:rPr>
          <w:t>214.7</w:t>
        </w:r>
      </w:hyperlink>
      <w:r>
        <w:t xml:space="preserve">, </w:t>
      </w:r>
      <w:hyperlink r:id="rId15" w:history="1">
        <w:r>
          <w:rPr>
            <w:color w:val="0000FF"/>
          </w:rPr>
          <w:t>226.1</w:t>
        </w:r>
      </w:hyperlink>
      <w:r>
        <w:t xml:space="preserve">, </w:t>
      </w:r>
      <w:hyperlink r:id="rId16" w:history="1">
        <w:r>
          <w:rPr>
            <w:color w:val="0000FF"/>
          </w:rPr>
          <w:t>227</w:t>
        </w:r>
      </w:hyperlink>
      <w:r>
        <w:t xml:space="preserve"> и </w:t>
      </w:r>
      <w:hyperlink r:id="rId17" w:history="1">
        <w:r>
          <w:rPr>
            <w:color w:val="0000FF"/>
          </w:rPr>
          <w:t>228</w:t>
        </w:r>
      </w:hyperlink>
      <w:r>
        <w:t xml:space="preserve"> Кодекса.</w:t>
      </w:r>
    </w:p>
    <w:p w:rsidR="007A0737" w:rsidRDefault="007A0737">
      <w:pPr>
        <w:pStyle w:val="ConsPlusNormal"/>
        <w:spacing w:before="220"/>
        <w:ind w:firstLine="540"/>
        <w:jc w:val="both"/>
      </w:pPr>
      <w:r>
        <w:t xml:space="preserve">Так, согласно </w:t>
      </w:r>
      <w:hyperlink r:id="rId18" w:history="1">
        <w:r>
          <w:rPr>
            <w:color w:val="0000FF"/>
          </w:rPr>
          <w:t>пункту 1 статьи 226.1</w:t>
        </w:r>
      </w:hyperlink>
      <w:r>
        <w:t xml:space="preserve"> Кодекса налоговая база по операциям с ценными бумагами, по операциям с производными финансовыми инструментами, по операциям РЕПО </w:t>
      </w:r>
      <w:proofErr w:type="gramStart"/>
      <w:r>
        <w:t>с</w:t>
      </w:r>
      <w:proofErr w:type="gramEnd"/>
      <w:r>
        <w:t xml:space="preserve"> ценными бумагами и по операциям займа ценными бумагами определяется налоговым агентом по </w:t>
      </w:r>
      <w:proofErr w:type="gramStart"/>
      <w:r>
        <w:t>окончании</w:t>
      </w:r>
      <w:proofErr w:type="gramEnd"/>
      <w:r>
        <w:t xml:space="preserve"> налогового периода, если иное не установлено </w:t>
      </w:r>
      <w:hyperlink r:id="rId19" w:history="1">
        <w:r>
          <w:rPr>
            <w:color w:val="0000FF"/>
          </w:rPr>
          <w:t>статьей 226.1</w:t>
        </w:r>
      </w:hyperlink>
      <w:r>
        <w:t xml:space="preserve"> Кодекса.</w:t>
      </w:r>
    </w:p>
    <w:p w:rsidR="007A0737" w:rsidRDefault="007A0737">
      <w:pPr>
        <w:pStyle w:val="ConsPlusNormal"/>
        <w:spacing w:before="220"/>
        <w:ind w:firstLine="540"/>
        <w:jc w:val="both"/>
      </w:pPr>
      <w:r>
        <w:t xml:space="preserve">Случаи, когда организации при выплате доходов от осуществления операций с ценными бумагами, а также при осуществлении выплат по ценным бумагам признаются налоговыми агентами, перечислены в </w:t>
      </w:r>
      <w:hyperlink r:id="rId20" w:history="1">
        <w:r>
          <w:rPr>
            <w:color w:val="0000FF"/>
          </w:rPr>
          <w:t>подпунктах 1</w:t>
        </w:r>
      </w:hyperlink>
      <w:r>
        <w:t xml:space="preserve"> - </w:t>
      </w:r>
      <w:hyperlink r:id="rId21" w:history="1">
        <w:r>
          <w:rPr>
            <w:color w:val="0000FF"/>
          </w:rPr>
          <w:t>7 пункта 2 статьи 226.1</w:t>
        </w:r>
      </w:hyperlink>
      <w:r>
        <w:t xml:space="preserve"> Кодекса.</w:t>
      </w:r>
    </w:p>
    <w:p w:rsidR="007A0737" w:rsidRDefault="007A0737">
      <w:pPr>
        <w:pStyle w:val="ConsPlusNormal"/>
        <w:spacing w:before="220"/>
        <w:ind w:firstLine="540"/>
        <w:jc w:val="both"/>
      </w:pPr>
      <w:r>
        <w:t>В частности, налоговыми агентами признаются брокер, осуществляющий в интересах налогоплательщика операции с ценными бумагами на основании договора на брокерское обслуживание, а также депозитарий, осуществляющий выплату налогоплательщику дохода по ценным бумагам, выпущенным российскими организациями, права по которым учитываются в таком депозитарии.</w:t>
      </w:r>
    </w:p>
    <w:p w:rsidR="007A0737" w:rsidRDefault="007A0737">
      <w:pPr>
        <w:pStyle w:val="ConsPlusNormal"/>
        <w:spacing w:before="220"/>
        <w:ind w:firstLine="540"/>
        <w:jc w:val="both"/>
      </w:pPr>
      <w:proofErr w:type="gramStart"/>
      <w:r>
        <w:t xml:space="preserve">В описанной в обращении ПАО ситуации выкуп акций, проводимый в соответствии с положениями </w:t>
      </w:r>
      <w:hyperlink r:id="rId22" w:history="1">
        <w:r>
          <w:rPr>
            <w:color w:val="0000FF"/>
          </w:rPr>
          <w:t>статьи 72</w:t>
        </w:r>
      </w:hyperlink>
      <w:r>
        <w:t xml:space="preserve"> Федерального закона от 26.12.1995 N 208-ФЗ "Об акционерных обществах", осуществляется акционерным обществом с участием депозитария (номинального держателя ценных бумаг) вне рамок договора на брокерское обслуживание, а выплачиваемые депозитарием денежные средства не относятся к доходам по операциям с ценными бумагами в том понимании, которое предусмотрено положениями</w:t>
      </w:r>
      <w:proofErr w:type="gramEnd"/>
      <w:r>
        <w:t xml:space="preserve"> </w:t>
      </w:r>
      <w:hyperlink r:id="rId23" w:history="1">
        <w:r>
          <w:rPr>
            <w:color w:val="0000FF"/>
          </w:rPr>
          <w:t>статьи 226.1</w:t>
        </w:r>
      </w:hyperlink>
      <w:r>
        <w:t xml:space="preserve"> Кодекса для определения порядка исчисления, удержания и перечисления налога на доходы физических лиц.</w:t>
      </w:r>
    </w:p>
    <w:p w:rsidR="007A0737" w:rsidRDefault="007A0737">
      <w:pPr>
        <w:pStyle w:val="ConsPlusNormal"/>
        <w:spacing w:before="220"/>
        <w:ind w:firstLine="540"/>
        <w:jc w:val="both"/>
      </w:pPr>
      <w:r>
        <w:t xml:space="preserve">Организации, выплачивающие доходы при выкупе собственных акций, также не перечислены в указанных подпунктах </w:t>
      </w:r>
      <w:hyperlink r:id="rId24" w:history="1">
        <w:r>
          <w:rPr>
            <w:color w:val="0000FF"/>
          </w:rPr>
          <w:t>пункта 2 статьи 226.1</w:t>
        </w:r>
      </w:hyperlink>
      <w:r>
        <w:t xml:space="preserve"> Кодекса.</w:t>
      </w:r>
    </w:p>
    <w:p w:rsidR="007A0737" w:rsidRDefault="007A0737">
      <w:pPr>
        <w:pStyle w:val="ConsPlusNormal"/>
        <w:spacing w:before="220"/>
        <w:ind w:firstLine="540"/>
        <w:jc w:val="both"/>
      </w:pPr>
      <w:r>
        <w:t>Соответственно</w:t>
      </w:r>
      <w:r w:rsidRPr="00D31F47">
        <w:rPr>
          <w:highlight w:val="yellow"/>
        </w:rPr>
        <w:t xml:space="preserve">, относительно таких выплат как номинальный держатель (депозитарий), так </w:t>
      </w:r>
      <w:r w:rsidRPr="00D31F47">
        <w:rPr>
          <w:highlight w:val="yellow"/>
        </w:rPr>
        <w:lastRenderedPageBreak/>
        <w:t xml:space="preserve">и акционерное общество не отвечают условиям признания налоговыми агентами по налогу на доходы физических лиц в отношении доходов от осуществления операций с ценными бумагами в соответствии с положениями </w:t>
      </w:r>
      <w:hyperlink r:id="rId25" w:history="1">
        <w:r w:rsidRPr="00D31F47">
          <w:rPr>
            <w:color w:val="0000FF"/>
            <w:highlight w:val="yellow"/>
          </w:rPr>
          <w:t>подпунктов 1</w:t>
        </w:r>
      </w:hyperlink>
      <w:r w:rsidRPr="00D31F47">
        <w:rPr>
          <w:highlight w:val="yellow"/>
        </w:rPr>
        <w:t xml:space="preserve"> - </w:t>
      </w:r>
      <w:hyperlink r:id="rId26" w:history="1">
        <w:r w:rsidRPr="00D31F47">
          <w:rPr>
            <w:color w:val="0000FF"/>
            <w:highlight w:val="yellow"/>
          </w:rPr>
          <w:t>7 пункта 2 статьи 226.1</w:t>
        </w:r>
      </w:hyperlink>
      <w:r w:rsidRPr="00D31F47">
        <w:rPr>
          <w:highlight w:val="yellow"/>
        </w:rPr>
        <w:t xml:space="preserve"> Кодекса.</w:t>
      </w:r>
    </w:p>
    <w:p w:rsidR="007A0737" w:rsidRDefault="007A0737">
      <w:pPr>
        <w:pStyle w:val="ConsPlusNormal"/>
        <w:spacing w:before="220"/>
        <w:ind w:firstLine="540"/>
        <w:jc w:val="both"/>
      </w:pPr>
      <w:proofErr w:type="gramStart"/>
      <w:r>
        <w:t xml:space="preserve">Вместе с тем в соответствии с положениями </w:t>
      </w:r>
      <w:hyperlink r:id="rId27" w:history="1">
        <w:r>
          <w:rPr>
            <w:color w:val="0000FF"/>
          </w:rPr>
          <w:t>пункта 1 статьи 226</w:t>
        </w:r>
      </w:hyperlink>
      <w:r>
        <w:t xml:space="preserve"> Кодекса в редакции Федерального закона от 29.09.2019 N 325-ФЗ "О внесении изменений в части первую и вторую Налогового кодекса Российской Федерации" с 01.01.2020, если иное не предусмотрено </w:t>
      </w:r>
      <w:hyperlink r:id="rId28" w:history="1">
        <w:r>
          <w:rPr>
            <w:color w:val="0000FF"/>
          </w:rPr>
          <w:t>пунктом 2 статьи 226.1</w:t>
        </w:r>
      </w:hyperlink>
      <w:r>
        <w:t xml:space="preserve"> Кодекса, налоговыми агентами признаются российские организации и индивидуальные предприниматели, осуществляющие выплаты по договорам купли-продажи (мены) ценных бумаг, заключенным</w:t>
      </w:r>
      <w:proofErr w:type="gramEnd"/>
      <w:r>
        <w:t xml:space="preserve"> ими с налогоплательщиками.</w:t>
      </w:r>
    </w:p>
    <w:p w:rsidR="007A0737" w:rsidRDefault="007A0737">
      <w:pPr>
        <w:pStyle w:val="ConsPlusNormal"/>
        <w:spacing w:before="220"/>
        <w:ind w:firstLine="540"/>
        <w:jc w:val="both"/>
      </w:pPr>
      <w:r>
        <w:t xml:space="preserve">Учитывая характер сделки в рассматриваемой ситуации, по мнению ФНС России, </w:t>
      </w:r>
      <w:r w:rsidRPr="00D31F47">
        <w:rPr>
          <w:highlight w:val="yellow"/>
        </w:rPr>
        <w:t xml:space="preserve">начиная с 2020 года акционерное общество, выкупающее собственные акции у своих акционеров, при перечислении денежных средств акционеру, в том числе через номинального держателя, признается налоговым агентом в соответствии со </w:t>
      </w:r>
      <w:hyperlink r:id="rId29" w:history="1">
        <w:r w:rsidRPr="00D31F47">
          <w:rPr>
            <w:color w:val="0000FF"/>
            <w:highlight w:val="yellow"/>
          </w:rPr>
          <w:t>статьей 226</w:t>
        </w:r>
      </w:hyperlink>
      <w:r w:rsidRPr="00D31F47">
        <w:rPr>
          <w:highlight w:val="yellow"/>
        </w:rPr>
        <w:t xml:space="preserve"> Кодекса.</w:t>
      </w:r>
      <w:bookmarkStart w:id="0" w:name="_GoBack"/>
      <w:bookmarkEnd w:id="0"/>
    </w:p>
    <w:p w:rsidR="007A0737" w:rsidRDefault="007A0737">
      <w:pPr>
        <w:pStyle w:val="ConsPlusNormal"/>
        <w:spacing w:before="220"/>
        <w:ind w:firstLine="540"/>
        <w:jc w:val="both"/>
      </w:pPr>
      <w:proofErr w:type="gramStart"/>
      <w:r>
        <w:t xml:space="preserve">При этом в целях исполнения организацией обязанностей, предусмотренных </w:t>
      </w:r>
      <w:hyperlink r:id="rId30" w:history="1">
        <w:r>
          <w:rPr>
            <w:color w:val="0000FF"/>
          </w:rPr>
          <w:t>статьей 230</w:t>
        </w:r>
      </w:hyperlink>
      <w:r>
        <w:t xml:space="preserve"> Кодекса, в соответствии с положениями </w:t>
      </w:r>
      <w:hyperlink r:id="rId31" w:history="1">
        <w:r>
          <w:rPr>
            <w:color w:val="0000FF"/>
          </w:rPr>
          <w:t>статьи 8.6-1</w:t>
        </w:r>
      </w:hyperlink>
      <w:r>
        <w:t xml:space="preserve"> Федерального закона от 22.04.1996 N 39-ФЗ "О рынке ценных бумаг" по требованию эмитента (лица, обязанного по ценным бумагам), Банка России держатель реестра, номинальный держатель или лицо, осуществляющее централизованный учет прав на ценные бумаги, обязаны предоставить список владельцев ценных бумаг, составленный на дату</w:t>
      </w:r>
      <w:proofErr w:type="gramEnd"/>
      <w:r>
        <w:t xml:space="preserve">, </w:t>
      </w:r>
      <w:proofErr w:type="gramStart"/>
      <w:r>
        <w:t>определенную</w:t>
      </w:r>
      <w:proofErr w:type="gramEnd"/>
      <w:r>
        <w:t xml:space="preserve"> в требовании. 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Требование эмитента (лица, обязанного по ценным бумагам) о предоставлении списка владельцев ценных бумаг направляется только держателю реестра или лицу, осуществляющему централизованный учет прав на ценные бумаги.</w:t>
      </w:r>
    </w:p>
    <w:p w:rsidR="007A0737" w:rsidRDefault="007A0737">
      <w:pPr>
        <w:pStyle w:val="ConsPlusNormal"/>
        <w:jc w:val="both"/>
      </w:pPr>
    </w:p>
    <w:p w:rsidR="007A0737" w:rsidRDefault="007A0737">
      <w:pPr>
        <w:pStyle w:val="ConsPlusNormal"/>
        <w:jc w:val="right"/>
      </w:pPr>
      <w:r>
        <w:t>Действительный</w:t>
      </w:r>
    </w:p>
    <w:p w:rsidR="007A0737" w:rsidRDefault="007A0737">
      <w:pPr>
        <w:pStyle w:val="ConsPlusNormal"/>
        <w:jc w:val="right"/>
      </w:pPr>
      <w:r>
        <w:t>государственный советник</w:t>
      </w:r>
    </w:p>
    <w:p w:rsidR="007A0737" w:rsidRDefault="007A0737">
      <w:pPr>
        <w:pStyle w:val="ConsPlusNormal"/>
        <w:jc w:val="right"/>
      </w:pPr>
      <w:r>
        <w:t>Российской Федерации</w:t>
      </w:r>
    </w:p>
    <w:p w:rsidR="007A0737" w:rsidRDefault="007A0737">
      <w:pPr>
        <w:pStyle w:val="ConsPlusNormal"/>
        <w:jc w:val="right"/>
      </w:pPr>
      <w:r>
        <w:t>2 класса</w:t>
      </w:r>
    </w:p>
    <w:p w:rsidR="007A0737" w:rsidRDefault="007A0737">
      <w:pPr>
        <w:pStyle w:val="ConsPlusNormal"/>
        <w:jc w:val="right"/>
      </w:pPr>
      <w:r>
        <w:t>С.Л.БОНДАРЧУК</w:t>
      </w:r>
    </w:p>
    <w:p w:rsidR="007A0737" w:rsidRDefault="007A0737">
      <w:pPr>
        <w:pStyle w:val="ConsPlusNormal"/>
      </w:pPr>
      <w:r>
        <w:t>17.01.2020</w:t>
      </w:r>
    </w:p>
    <w:p w:rsidR="007A0737" w:rsidRDefault="007A0737">
      <w:pPr>
        <w:pStyle w:val="ConsPlusNormal"/>
        <w:jc w:val="both"/>
      </w:pPr>
    </w:p>
    <w:p w:rsidR="007A0737" w:rsidRDefault="007A0737">
      <w:pPr>
        <w:pStyle w:val="ConsPlusNormal"/>
        <w:jc w:val="both"/>
      </w:pPr>
    </w:p>
    <w:p w:rsidR="007A0737" w:rsidRDefault="007A0737">
      <w:pPr>
        <w:pStyle w:val="ConsPlusNormal"/>
        <w:pBdr>
          <w:top w:val="single" w:sz="6" w:space="0" w:color="auto"/>
        </w:pBdr>
        <w:spacing w:before="100" w:after="100"/>
        <w:jc w:val="both"/>
        <w:rPr>
          <w:sz w:val="2"/>
          <w:szCs w:val="2"/>
        </w:rPr>
      </w:pPr>
    </w:p>
    <w:p w:rsidR="009A3ABD" w:rsidRDefault="00D31F47"/>
    <w:sectPr w:rsidR="009A3ABD" w:rsidSect="009E4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37"/>
    <w:rsid w:val="003B2790"/>
    <w:rsid w:val="00636717"/>
    <w:rsid w:val="007A0737"/>
    <w:rsid w:val="00D3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07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07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07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07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5C6DDAD5565EC708F8FACA4FCAE201DC8F7875CC8D47A6B0AC71A2A08D10D592B315F3100B4B66E00DA47E3D19C199B2802605896C44E4K8U5M" TargetMode="External"/><Relationship Id="rId13" Type="http://schemas.openxmlformats.org/officeDocument/2006/relationships/hyperlink" Target="consultantplus://offline/ref=765C6DDAD5565EC708F8FACA4FCAE201DC8F7875CC8D47A6B0AC71A2A08D10D592B315FA190F4868B357B47A744CC987B79C3805976CK4U4M" TargetMode="External"/><Relationship Id="rId18" Type="http://schemas.openxmlformats.org/officeDocument/2006/relationships/hyperlink" Target="consultantplus://offline/ref=765C6DDAD5565EC708F8FACA4FCAE201DC8F7875CC8D47A6B0AC71A2A08D10D592B315F313084B65EC52A16B2C41CC9CA99E2419956E46KEU6M" TargetMode="External"/><Relationship Id="rId26" Type="http://schemas.openxmlformats.org/officeDocument/2006/relationships/hyperlink" Target="consultantplus://offline/ref=765C6DDAD5565EC708F8FACA4FCAE201DC8F7875CC8D47A6B0AC71A2A08D10D592B315FB10084F68B357B47A744CC987B79C3805976CK4U4M" TargetMode="External"/><Relationship Id="rId3" Type="http://schemas.openxmlformats.org/officeDocument/2006/relationships/settings" Target="settings.xml"/><Relationship Id="rId21" Type="http://schemas.openxmlformats.org/officeDocument/2006/relationships/hyperlink" Target="consultantplus://offline/ref=765C6DDAD5565EC708F8FACA4FCAE201DC8F7875CC8D47A6B0AC71A2A08D10D592B315FB10084F68B357B47A744CC987B79C3805976CK4U4M" TargetMode="External"/><Relationship Id="rId7" Type="http://schemas.openxmlformats.org/officeDocument/2006/relationships/hyperlink" Target="consultantplus://offline/ref=765C6DDAD5565EC708F8FACA4FCAE201DC8F7875CC8D47A6B0AC71A2A08D10D592B315F3100B4B67E60DA47E3D19C199B2802605896C44E4K8U5M" TargetMode="External"/><Relationship Id="rId12" Type="http://schemas.openxmlformats.org/officeDocument/2006/relationships/hyperlink" Target="consultantplus://offline/ref=765C6DDAD5565EC708F8FACA4FCAE201DC8F7875CC8D47A6B0AC71A2A08D10D592B315F513024F68B357B47A744CC987B79C3805976CK4U4M" TargetMode="External"/><Relationship Id="rId17" Type="http://schemas.openxmlformats.org/officeDocument/2006/relationships/hyperlink" Target="consultantplus://offline/ref=765C6DDAD5565EC708F8FACA4FCAE201DC8F7875CC8D47A6B0AC71A2A08D10D592B315F3100B4B6AE60DA47E3D19C199B2802605896C44E4K8U5M" TargetMode="External"/><Relationship Id="rId25" Type="http://schemas.openxmlformats.org/officeDocument/2006/relationships/hyperlink" Target="consultantplus://offline/ref=765C6DDAD5565EC708F8FACA4FCAE201DC8F7875CC8D47A6B0AC71A2A08D10D592B315F312094B6AEC52A16B2C41CC9CA99E2419956E46KEU6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65C6DDAD5565EC708F8FACA4FCAE201DC8F7875CC8D47A6B0AC71A2A08D10D592B315F1100B4668B357B47A744CC987B79C3805976CK4U4M" TargetMode="External"/><Relationship Id="rId20" Type="http://schemas.openxmlformats.org/officeDocument/2006/relationships/hyperlink" Target="consultantplus://offline/ref=765C6DDAD5565EC708F8FACA4FCAE201DC8F7875CC8D47A6B0AC71A2A08D10D592B315F312094B6AEC52A16B2C41CC9CA99E2419956E46KEU6M" TargetMode="External"/><Relationship Id="rId29" Type="http://schemas.openxmlformats.org/officeDocument/2006/relationships/hyperlink" Target="consultantplus://offline/ref=765C6DDAD5565EC708F8FACA4FCAE201DC8F7875CC8D47A6B0AC71A2A08D10D592B315F3100B4B66E00DA47E3D19C199B2802605896C44E4K8U5M" TargetMode="External"/><Relationship Id="rId1" Type="http://schemas.openxmlformats.org/officeDocument/2006/relationships/styles" Target="styles.xml"/><Relationship Id="rId6" Type="http://schemas.openxmlformats.org/officeDocument/2006/relationships/hyperlink" Target="consultantplus://offline/ref=765C6DDAD5565EC708F8FACA4FCAE201DC8F7875CC8D47A6B0AC71A2A08D10D592B315F115034968B357B47A744CC987B79C3805976CK4U4M" TargetMode="External"/><Relationship Id="rId11" Type="http://schemas.openxmlformats.org/officeDocument/2006/relationships/hyperlink" Target="consultantplus://offline/ref=765C6DDAD5565EC708F8FACA4FCAE201DC8F7875CC8D47A6B0AC71A2A08D10D592B315F6170B4F68B357B47A744CC987B79C3805976CK4U4M" TargetMode="External"/><Relationship Id="rId24" Type="http://schemas.openxmlformats.org/officeDocument/2006/relationships/hyperlink" Target="consultantplus://offline/ref=765C6DDAD5565EC708F8FACA4FCAE201DC8F7875CC8D47A6B0AC71A2A08D10D592B315F3140B4A60EC52A16B2C41CC9CA99E2419956E46KEU6M"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65C6DDAD5565EC708F8FACA4FCAE201DC8F7875CC8D47A6B0AC71A2A08D10D592B315F313084B66EC52A16B2C41CC9CA99E2419956E46KEU6M" TargetMode="External"/><Relationship Id="rId23" Type="http://schemas.openxmlformats.org/officeDocument/2006/relationships/hyperlink" Target="consultantplus://offline/ref=765C6DDAD5565EC708F8FACA4FCAE201DC8F7875CC8D47A6B0AC71A2A08D10D592B315F313084B66EC52A16B2C41CC9CA99E2419956E46KEU6M" TargetMode="External"/><Relationship Id="rId28" Type="http://schemas.openxmlformats.org/officeDocument/2006/relationships/hyperlink" Target="consultantplus://offline/ref=765C6DDAD5565EC708F8FACA4FCAE201DC8F7875CC8D47A6B0AC71A2A08D10D592B315F3140B4A60EC52A16B2C41CC9CA99E2419956E46KEU6M" TargetMode="External"/><Relationship Id="rId10" Type="http://schemas.openxmlformats.org/officeDocument/2006/relationships/hyperlink" Target="consultantplus://offline/ref=765C6DDAD5565EC708F8FACA4FCAE201DC8F7875CC8D47A6B0AC71A2A08D10D592B315F6170A4668B357B47A744CC987B79C3805976CK4U4M" TargetMode="External"/><Relationship Id="rId19" Type="http://schemas.openxmlformats.org/officeDocument/2006/relationships/hyperlink" Target="consultantplus://offline/ref=765C6DDAD5565EC708F8FACA4FCAE201DC8F7875CC8D47A6B0AC71A2A08D10D592B315F313084B66EC52A16B2C41CC9CA99E2419956E46KEU6M" TargetMode="External"/><Relationship Id="rId31" Type="http://schemas.openxmlformats.org/officeDocument/2006/relationships/hyperlink" Target="consultantplus://offline/ref=765C6DDAD5565EC708F8FACA4FCAE201DC8F797BC58F47A6B0AC71A2A08D10D592B315F012024C68B357B47A744CC987B79C3805976CK4U4M" TargetMode="External"/><Relationship Id="rId4" Type="http://schemas.openxmlformats.org/officeDocument/2006/relationships/webSettings" Target="webSettings.xml"/><Relationship Id="rId9" Type="http://schemas.openxmlformats.org/officeDocument/2006/relationships/hyperlink" Target="consultantplus://offline/ref=765C6DDAD5565EC708F8FACA4FCAE201DC8F7875CC8D47A6B0AC71A2A08D10D592B315F3150A4A64EC52A16B2C41CC9CA99E2419956E46KEU6M" TargetMode="External"/><Relationship Id="rId14" Type="http://schemas.openxmlformats.org/officeDocument/2006/relationships/hyperlink" Target="consultantplus://offline/ref=765C6DDAD5565EC708F8FACA4FCAE201DC8F7875CC8D47A6B0AC71A2A08D10D592B315F318084D64EC52A16B2C41CC9CA99E2419956E46KEU6M" TargetMode="External"/><Relationship Id="rId22" Type="http://schemas.openxmlformats.org/officeDocument/2006/relationships/hyperlink" Target="consultantplus://offline/ref=765C6DDAD5565EC708F8FACA4FCAE201DC8F7974C38B47A6B0AC71A2A08D10D592B315F3100A4960EE0DA47E3D19C199B2802605896C44E4K8U5M" TargetMode="External"/><Relationship Id="rId27" Type="http://schemas.openxmlformats.org/officeDocument/2006/relationships/hyperlink" Target="consultantplus://offline/ref=765C6DDAD5565EC708F8FACA4FCAE201DC8F7875CC8D47A6B0AC71A2A08D10D592B315F318084A67EC52A16B2C41CC9CA99E2419956E46KEU6M" TargetMode="External"/><Relationship Id="rId30" Type="http://schemas.openxmlformats.org/officeDocument/2006/relationships/hyperlink" Target="consultantplus://offline/ref=765C6DDAD5565EC708F8FACA4FCAE201DC8F7875CC8D47A6B0AC71A2A08D10D592B315F3100B4A62E50DA47E3D19C199B2802605896C44E4K8U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Надежда Владимировна</dc:creator>
  <cp:lastModifiedBy>Родина Надежда Владимировна</cp:lastModifiedBy>
  <cp:revision>2</cp:revision>
  <dcterms:created xsi:type="dcterms:W3CDTF">2020-02-05T12:20:00Z</dcterms:created>
  <dcterms:modified xsi:type="dcterms:W3CDTF">2020-02-05T12:53:00Z</dcterms:modified>
</cp:coreProperties>
</file>